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信息科技与科创教育编程实践活动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pacing w:val="-28"/>
          <w:sz w:val="44"/>
          <w:szCs w:val="4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学生线上学习活动方案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PMingLiU" w:cs="仿宋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一、活动安排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Hans" w:bidi="ar"/>
        </w:rPr>
        <w:t>学生通过学习在线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公益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Hans" w:bidi="ar"/>
        </w:rPr>
        <w:t>课程，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初级组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是图形化编程，小学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高级组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和初中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是Python编程，进行编程作品创作、互动体验、参与作品评选活动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公益课程</w:t>
      </w:r>
      <w:r>
        <w:rPr>
          <w:rFonts w:hint="eastAsia" w:ascii="仿宋" w:hAnsi="仿宋" w:eastAsia="仿宋" w:cs="仿宋"/>
          <w:color w:val="000000"/>
          <w:w w:val="95"/>
          <w:sz w:val="32"/>
          <w:szCs w:val="32"/>
          <w:highlight w:val="none"/>
        </w:rPr>
        <w:t>分组学习</w:t>
      </w:r>
      <w:r>
        <w:rPr>
          <w:rFonts w:hint="eastAsia" w:ascii="仿宋" w:hAnsi="仿宋" w:eastAsia="仿宋" w:cs="仿宋"/>
          <w:color w:val="000000"/>
          <w:w w:val="95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w w:val="95"/>
          <w:sz w:val="32"/>
          <w:szCs w:val="32"/>
          <w:highlight w:val="none"/>
        </w:rPr>
        <w:t>先报先得</w:t>
      </w:r>
      <w:r>
        <w:rPr>
          <w:rFonts w:hint="eastAsia" w:ascii="仿宋" w:hAnsi="仿宋" w:eastAsia="仿宋" w:cs="仿宋"/>
          <w:color w:val="000000"/>
          <w:w w:val="95"/>
          <w:sz w:val="32"/>
          <w:szCs w:val="32"/>
          <w:highlight w:val="none"/>
          <w:lang w:eastAsia="zh-CN"/>
        </w:rPr>
        <w:t>。</w:t>
      </w:r>
    </w:p>
    <w:p>
      <w:pPr>
        <w:pStyle w:val="1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91" w:firstLineChars="216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二、活动内容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bookmarkStart w:id="0" w:name="bookmark34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）学习形式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学生自主学习与实践操作，配以老师辅导。</w:t>
      </w:r>
      <w:bookmarkStart w:id="1" w:name="bookmark35"/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内容：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编程基础知识普及和编程基础能力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实践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-486" w:rightChars="-162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</w:pPr>
      <w:r>
        <w:rPr>
          <w:rFonts w:hint="eastAsia" w:ascii="仿宋" w:hAnsi="仿宋" w:eastAsia="仿宋" w:cs="仿宋"/>
          <w:sz w:val="32"/>
          <w:szCs w:val="32"/>
        </w:rPr>
        <w:t>小学初级组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  <w:t>课程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zh-TW" w:eastAsia="zh-CN" w:bidi="zh-TW"/>
        </w:rPr>
        <w:t>Ⅰ（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 w:bidi="zh-TW"/>
        </w:rPr>
        <w:t>适合一年级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zh-TW" w:eastAsia="zh-CN" w:bidi="zh-TW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  <w:t>：</w:t>
      </w:r>
    </w:p>
    <w:tbl>
      <w:tblPr>
        <w:tblStyle w:val="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课程</w:t>
            </w:r>
          </w:p>
        </w:tc>
        <w:tc>
          <w:tcPr>
            <w:tcW w:w="5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概要内容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第1课</w:t>
            </w:r>
          </w:p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《猴王出世》</w:t>
            </w: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应用故事四要素，梳理作品创作思路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理解自上而下运行的程序运行逻辑；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制作“猴王出世”的故事动画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第2课</w:t>
            </w:r>
          </w:p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《新龟兔赛跑》</w:t>
            </w: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ind w:left="4320" w:hanging="4320" w:hangingChars="180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掌握积木调整参数的方法，设置不同的参数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初步认识记叙文框架，批判性地思考龟兔赛跑的因果关系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比较数字大小，控制乌龟、小兔赛跑时的速度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2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第3课</w:t>
            </w:r>
          </w:p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《智能扫地机器人》</w:t>
            </w: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掌握程序测试调试的方法，细心自查，修正机器人的导航程序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识别空间方位，设计扫地机器人的移动路线，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了解扫地机器人的工作原理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2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第4课</w:t>
            </w:r>
          </w:p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《火星奇遇记》</w:t>
            </w: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掌握屏幕切换的方法，让火箭从太空飞到火星降落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通过数字标尺，完成距离测量，调整积木参数，让火箭一飞冲天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了解太阳系、行星。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281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三节拓展课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lang w:val="en-US" w:eastAsia="zh-CN"/>
              </w:rPr>
              <w:t>拔呀拔萝卜！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lang w:val="en-US" w:eastAsia="zh-CN"/>
              </w:rPr>
              <w:t>我的秘密基地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lang w:val="en-US" w:eastAsia="zh-CN"/>
              </w:rPr>
              <w:t>美食大作战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学习创作动画三要素：添加背景，添加角色，给角色下指令。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通过小老鼠用灯光求救，涂鸦狐用密语藏宝作品，学习顺序结构。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2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制作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分享美食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作品过程中，学会分解任务、分解生活中的问题。</w:t>
            </w:r>
          </w:p>
        </w:tc>
      </w:tr>
    </w:tbl>
    <w:p>
      <w:pPr>
        <w:pStyle w:val="11"/>
        <w:spacing w:line="560" w:lineRule="exact"/>
        <w:ind w:left="0" w:leftChars="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11"/>
        <w:spacing w:line="560" w:lineRule="exact"/>
        <w:ind w:left="0" w:leftChars="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小学初级组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  <w:t>课程</w:t>
      </w:r>
      <w:r>
        <w:rPr>
          <w:rFonts w:hint="eastAsia" w:ascii="仿宋" w:hAnsi="仿宋" w:eastAsia="仿宋" w:cs="仿宋"/>
          <w:kern w:val="2"/>
          <w:sz w:val="32"/>
          <w:szCs w:val="32"/>
          <w:lang w:val="zh-TW" w:eastAsia="zh-CN" w:bidi="ar-SA"/>
        </w:rPr>
        <w:t>Ⅱ（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适合二—四年级</w:t>
      </w:r>
      <w:r>
        <w:rPr>
          <w:rFonts w:hint="eastAsia" w:ascii="仿宋" w:hAnsi="仿宋" w:eastAsia="仿宋" w:cs="仿宋"/>
          <w:kern w:val="2"/>
          <w:sz w:val="32"/>
          <w:szCs w:val="32"/>
          <w:lang w:val="zh-TW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</w:t>
      </w:r>
    </w:p>
    <w:tbl>
      <w:tblPr>
        <w:tblStyle w:val="8"/>
        <w:tblW w:w="7971" w:type="dxa"/>
        <w:tblInd w:w="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ind w:left="0" w:leftChars="0" w:firstLine="520" w:firstLineChars="21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课程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0" w:leftChars="0" w:firstLine="520" w:firstLineChars="21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概要内容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第1课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大诗人开播啦！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理解编程的“顺序结构〞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体验APP交互设计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第2课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加油！登上雪山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理解“坐标”概念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    体验程序“调参”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第3课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我的太空生活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理解编程的“循环结构”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了解“随机”概念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第4课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智能无人驾驶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了解“无人驾驶”原理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理解并应用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“角度”、“速度”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三节拓展课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趣味航天知识竞赛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燃烧吧卡路里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神奇宝藏在哪里</w:t>
            </w:r>
          </w:p>
        </w:tc>
        <w:tc>
          <w:tcPr>
            <w:tcW w:w="5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了解编程的“分支结构”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理解“广播机制”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了解“事件”概念</w:t>
            </w:r>
          </w:p>
        </w:tc>
      </w:tr>
    </w:tbl>
    <w:p>
      <w:pPr>
        <w:pStyle w:val="11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4"/>
        <w:spacing w:after="0"/>
        <w:ind w:left="0" w:leftChars="0" w:right="-486" w:rightChars="-162" w:firstLine="691" w:firstLineChars="216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</w:t>
      </w:r>
      <w:r>
        <w:rPr>
          <w:rFonts w:hint="eastAsia" w:ascii="仿宋" w:hAnsi="仿宋" w:eastAsia="仿宋" w:cs="仿宋"/>
          <w:sz w:val="32"/>
          <w:szCs w:val="32"/>
        </w:rPr>
        <w:t>高级组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和初中组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TW" w:eastAsia="zh-TW" w:bidi="zh-TW"/>
        </w:rPr>
        <w:t>课程：</w:t>
      </w:r>
    </w:p>
    <w:tbl>
      <w:tblPr>
        <w:tblStyle w:val="8"/>
        <w:tblW w:w="800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1"/>
        <w:gridCol w:w="5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41" w:type="dxa"/>
            <w:noWrap w:val="0"/>
            <w:vAlign w:val="center"/>
          </w:tcPr>
          <w:p>
            <w:pPr>
              <w:ind w:left="0" w:leftChars="0" w:firstLine="520" w:firstLineChars="21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课程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ind w:left="0" w:leftChars="0" w:firstLine="520" w:firstLineChars="21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概要内容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641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第1课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星河日月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学习3D模型并创造不同星球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641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第2课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青蛙病毒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学习解密方法破解凯撒密码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了解信息搜索并分析数据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641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第3课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完美防御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学习程序系统设计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了解并使用流程图工具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641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第4课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一步迷宫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学习破解迷宫的算法</w:t>
            </w:r>
          </w:p>
          <w:p>
            <w:pPr>
              <w:spacing w:line="44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通过符号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思维对应空间方向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641" w:type="dxa"/>
            <w:noWrap w:val="0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节拓展课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少年警察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地底奇遇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神兵出世</w:t>
            </w:r>
          </w:p>
        </w:tc>
        <w:tc>
          <w:tcPr>
            <w:tcW w:w="5359" w:type="dxa"/>
            <w:noWrap w:val="0"/>
            <w:vAlign w:val="center"/>
          </w:tcPr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学习turtle库的基础绘图方法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学习添加背景图片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了解并应用图形叠加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综合运用所学的编程知识</w:t>
            </w:r>
          </w:p>
          <w:p>
            <w:pPr>
              <w:spacing w:line="420" w:lineRule="exact"/>
              <w:ind w:left="0" w:leftChars="0" w:firstLine="518" w:firstLineChars="216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结合极限思想绘制复杂图案</w:t>
            </w:r>
          </w:p>
        </w:tc>
      </w:tr>
    </w:tbl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2.人工智能主题作品专题辅导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（1）辅导内容：编程辅导班主任全程辅导学生如何制作创意编程作品，锻炼编程思维及能力的同时，感受人工智能时代的科技氛围。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（2）辅导时间：具体辅导时间开课后以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编程老师通知时间为准。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（3）学习时间：每晚 7:00-7:30。学生应在家长指导下开展学习。因事缺课的学生要在规定的时间内完成学习任务后，方可继续参加后面的学习。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（4）学习方式：本次线上学习活动使用电脑或者移动端智能设备（手机或平板）即可学习。每一个课程为一个知识点。釆用体验式的教学方法，5 分钟的讲解+25分钟的实践操作。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学习评价：完成当天学习的学生，均可获得编程辅导班主任的点评，支持编程辅导班主任与学生之间的语音和视频辅导。 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（四）报名流程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扫描下方二维码报名参加本次编程教育实践活动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线上学习活动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培训课程，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每个组别各有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7节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课。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425450</wp:posOffset>
            </wp:positionV>
            <wp:extent cx="1869440" cy="1869440"/>
            <wp:effectExtent l="0" t="0" r="5080" b="5080"/>
            <wp:wrapNone/>
            <wp:docPr id="1" name="图片 2" descr="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第一步：扫描二维码，点击“打开”小程序报名，点击“免费领取”；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 xml:space="preserve">第二步：按操作提示填写信息：省/市/区、学校、班级、年龄；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 xml:space="preserve">第三步：扫描系统弹出的辅导员二维码，添加后等待通过，即报名成功； 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91" w:firstLineChars="216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2.免费公益课程学生可以反复学习，如学生对课程需要深入学习，作为兴趣特长发展，须在家长确定费用等情况下，自行自愿购买后续课程，教育局和学校不作强制要求（监督举报电话：2180822）。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ZjcwNDg0ZDMwNjQ4MzNhNTdjZmJiNzFlYjgwZGUifQ=="/>
  </w:docVars>
  <w:rsids>
    <w:rsidRoot w:val="0E381272"/>
    <w:rsid w:val="082B636A"/>
    <w:rsid w:val="0890485D"/>
    <w:rsid w:val="0B4048FC"/>
    <w:rsid w:val="0E381272"/>
    <w:rsid w:val="107C463F"/>
    <w:rsid w:val="123B0885"/>
    <w:rsid w:val="16F5286F"/>
    <w:rsid w:val="1A433816"/>
    <w:rsid w:val="1BF11252"/>
    <w:rsid w:val="26E33E7C"/>
    <w:rsid w:val="3268280F"/>
    <w:rsid w:val="36B96730"/>
    <w:rsid w:val="394112BE"/>
    <w:rsid w:val="4348021F"/>
    <w:rsid w:val="45ED6DA9"/>
    <w:rsid w:val="49B83A21"/>
    <w:rsid w:val="4FC96B8B"/>
    <w:rsid w:val="5376020D"/>
    <w:rsid w:val="53D80EDC"/>
    <w:rsid w:val="55CF47D0"/>
    <w:rsid w:val="563F6C12"/>
    <w:rsid w:val="578462CB"/>
    <w:rsid w:val="59A10231"/>
    <w:rsid w:val="5B7C71A8"/>
    <w:rsid w:val="5C3D6937"/>
    <w:rsid w:val="63793840"/>
    <w:rsid w:val="63C67212"/>
    <w:rsid w:val="6F0926A9"/>
    <w:rsid w:val="711C5F6E"/>
    <w:rsid w:val="72B868C0"/>
    <w:rsid w:val="7BE7EAC6"/>
    <w:rsid w:val="7D7653AD"/>
    <w:rsid w:val="7E100013"/>
    <w:rsid w:val="7E124F00"/>
    <w:rsid w:val="7EED040B"/>
    <w:rsid w:val="7F952CC7"/>
    <w:rsid w:val="7FF8479F"/>
    <w:rsid w:val="F5DC2456"/>
    <w:rsid w:val="FC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Body Text First Indent"/>
    <w:basedOn w:val="4"/>
    <w:qFormat/>
    <w:uiPriority w:val="0"/>
    <w:pPr>
      <w:widowControl w:val="0"/>
      <w:spacing w:line="500" w:lineRule="exact"/>
      <w:ind w:firstLine="420"/>
      <w:jc w:val="both"/>
    </w:pPr>
    <w:rPr>
      <w:rFonts w:ascii="Times New Roman" w:hAnsi="Times New Roman" w:eastAsia="仿宋_GB2312" w:cs="Times New Roman"/>
      <w:sz w:val="28"/>
      <w:lang w:val="en-US"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|1"/>
    <w:basedOn w:val="1"/>
    <w:autoRedefine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Heading #1|1"/>
    <w:basedOn w:val="1"/>
    <w:qFormat/>
    <w:uiPriority w:val="0"/>
    <w:pPr>
      <w:spacing w:after="580" w:line="792" w:lineRule="exact"/>
      <w:jc w:val="center"/>
      <w:outlineLvl w:val="0"/>
    </w:pPr>
    <w:rPr>
      <w:rFonts w:ascii="宋体" w:hAnsi="宋体" w:eastAsia="宋体" w:cs="宋体"/>
      <w:color w:val="636B7C"/>
      <w:sz w:val="40"/>
      <w:szCs w:val="40"/>
      <w:lang w:val="zh-TW" w:eastAsia="zh-TW" w:bidi="zh-TW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2024-01-29T17:27:00Z</dcterms:created>
  <dc:creator>庄小龙</dc:creator>
  <cp:lastModifiedBy>admin</cp:lastModifiedBy>
  <cp:lastPrinted>2024-03-19T07:37:00Z</cp:lastPrinted>
  <dcterms:modified xsi:type="dcterms:W3CDTF">2024-03-21T08:17:23Z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C7CDA28CDADE3C4B5DB0D6656070F38B_43</vt:lpwstr>
  </property>
</Properties>
</file>